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6B4F" w14:textId="111D955B" w:rsidR="004425B2" w:rsidRDefault="004425B2" w:rsidP="00506DA9">
      <w:pPr>
        <w:numPr>
          <w:ilvl w:val="0"/>
          <w:numId w:val="0"/>
        </w:numPr>
        <w:spacing w:after="0" w:line="256" w:lineRule="auto"/>
        <w:ind w:left="1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ZMLUVA </w:t>
      </w:r>
      <w:r w:rsidR="00352A65" w:rsidRPr="00352A65">
        <w:rPr>
          <w:b/>
          <w:sz w:val="26"/>
          <w:szCs w:val="26"/>
        </w:rPr>
        <w:t>O PRIPOJENÍ</w:t>
      </w:r>
      <w:r w:rsidR="00352A65">
        <w:rPr>
          <w:b/>
          <w:sz w:val="26"/>
          <w:szCs w:val="26"/>
        </w:rPr>
        <w:t> </w:t>
      </w:r>
      <w:r w:rsidR="00352A65" w:rsidRPr="00352A65">
        <w:rPr>
          <w:b/>
          <w:sz w:val="26"/>
          <w:szCs w:val="26"/>
        </w:rPr>
        <w:t xml:space="preserve">ZARIADENIA UŽÍVATEĽA SÚSTAVY DO </w:t>
      </w:r>
      <w:r w:rsidR="00352A65">
        <w:rPr>
          <w:b/>
          <w:sz w:val="26"/>
          <w:szCs w:val="26"/>
        </w:rPr>
        <w:t xml:space="preserve">MIESTNEJ </w:t>
      </w:r>
      <w:r w:rsidR="00352A65" w:rsidRPr="00352A65">
        <w:rPr>
          <w:b/>
          <w:sz w:val="26"/>
          <w:szCs w:val="26"/>
        </w:rPr>
        <w:t>DISTRIBUČNEJ SÚSTAVY</w:t>
      </w:r>
      <w:r w:rsidR="00352A65">
        <w:rPr>
          <w:b/>
          <w:sz w:val="26"/>
          <w:szCs w:val="26"/>
        </w:rPr>
        <w:t xml:space="preserve"> </w:t>
      </w:r>
      <w:r w:rsidR="00352A65" w:rsidRPr="00352A65">
        <w:rPr>
          <w:b/>
          <w:sz w:val="26"/>
          <w:szCs w:val="26"/>
        </w:rPr>
        <w:t>NA EXISTUJÚCOM ODBERNOM MIESTE</w:t>
      </w:r>
    </w:p>
    <w:p w14:paraId="563B8CFD" w14:textId="77777777" w:rsidR="004425B2" w:rsidRDefault="004425B2" w:rsidP="002C4B9D">
      <w:pPr>
        <w:numPr>
          <w:ilvl w:val="0"/>
          <w:numId w:val="0"/>
        </w:numPr>
        <w:spacing w:after="10"/>
        <w:jc w:val="center"/>
      </w:pPr>
      <w:r>
        <w:t>(ďalej len „</w:t>
      </w:r>
      <w:r w:rsidRPr="00506DA9">
        <w:rPr>
          <w:b/>
          <w:bCs/>
        </w:rPr>
        <w:t>Zmluva</w:t>
      </w:r>
      <w:r>
        <w:t>”)</w:t>
      </w:r>
    </w:p>
    <w:p w14:paraId="459CB734" w14:textId="28554C29" w:rsidR="004425B2" w:rsidRDefault="004425B2" w:rsidP="00506DA9">
      <w:pPr>
        <w:numPr>
          <w:ilvl w:val="0"/>
          <w:numId w:val="0"/>
        </w:numPr>
        <w:spacing w:after="10"/>
        <w:jc w:val="center"/>
      </w:pPr>
      <w:r>
        <w:t>__________________________________________________________________________________</w:t>
      </w:r>
    </w:p>
    <w:p w14:paraId="282D11F2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</w:p>
    <w:p w14:paraId="64163266" w14:textId="0F92B43A" w:rsidR="004425B2" w:rsidRDefault="004425B2" w:rsidP="00506DA9">
      <w:pPr>
        <w:numPr>
          <w:ilvl w:val="0"/>
          <w:numId w:val="0"/>
        </w:numPr>
        <w:spacing w:after="0" w:line="259" w:lineRule="auto"/>
      </w:pPr>
    </w:p>
    <w:p w14:paraId="429869D1" w14:textId="77777777" w:rsidR="004425B2" w:rsidRDefault="004425B2" w:rsidP="00506DA9">
      <w:pPr>
        <w:numPr>
          <w:ilvl w:val="0"/>
          <w:numId w:val="0"/>
        </w:numPr>
        <w:spacing w:after="10"/>
      </w:pPr>
      <w:r>
        <w:t xml:space="preserve">uzatvorená medzi zmluvnými stranami: </w:t>
      </w:r>
    </w:p>
    <w:p w14:paraId="6C204CF1" w14:textId="1A06D1F5" w:rsidR="004425B2" w:rsidRDefault="004425B2" w:rsidP="00506DA9">
      <w:pPr>
        <w:numPr>
          <w:ilvl w:val="0"/>
          <w:numId w:val="0"/>
        </w:numPr>
        <w:spacing w:after="0" w:line="259" w:lineRule="auto"/>
      </w:pPr>
    </w:p>
    <w:tbl>
      <w:tblPr>
        <w:tblStyle w:val="TableGrid"/>
        <w:tblW w:w="10066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9"/>
        <w:gridCol w:w="7547"/>
      </w:tblGrid>
      <w:tr w:rsidR="004425B2" w14:paraId="3509926B" w14:textId="77777777" w:rsidTr="00936B38">
        <w:trPr>
          <w:trHeight w:val="278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779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rPr>
                <w:b/>
              </w:rPr>
              <w:t xml:space="preserve">Prevádzkovateľ miestnej distribučnej sústavy: </w:t>
            </w:r>
          </w:p>
        </w:tc>
      </w:tr>
      <w:tr w:rsidR="004425B2" w14:paraId="72BBA66E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D4F5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Obchodné meno: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9CC9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FORTISCHEM a. s. </w:t>
            </w:r>
          </w:p>
        </w:tc>
      </w:tr>
      <w:tr w:rsidR="004425B2" w14:paraId="233CC807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AE1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Sídlo: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1963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>M. R. Štefánika 1, 972 71 Nováky</w:t>
            </w:r>
          </w:p>
        </w:tc>
      </w:tr>
      <w:tr w:rsidR="004425B2" w14:paraId="6BB97C57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7EF2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Zapísan</w:t>
            </w:r>
            <w:r>
              <w:t xml:space="preserve">ý: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F1EA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V Obchodnom registri Okresného súdu Trenčín, oddiel: Sa, vložka č.: </w:t>
            </w:r>
            <w:r w:rsidRPr="00247B7C">
              <w:t>10623/R</w:t>
            </w:r>
          </w:p>
        </w:tc>
      </w:tr>
      <w:tr w:rsidR="004425B2" w14:paraId="1031A6C0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9BF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IČO: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ACD7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46 693 874</w:t>
            </w:r>
          </w:p>
        </w:tc>
      </w:tr>
      <w:tr w:rsidR="004425B2" w14:paraId="782BC470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C3C7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DIČ: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93B1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2023528254</w:t>
            </w:r>
          </w:p>
        </w:tc>
      </w:tr>
      <w:tr w:rsidR="004425B2" w14:paraId="3E92B7BF" w14:textId="77777777" w:rsidTr="00936B38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0668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IČ DPH: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83A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SK7120001768</w:t>
            </w:r>
          </w:p>
        </w:tc>
      </w:tr>
      <w:tr w:rsidR="004425B2" w14:paraId="5DF163F0" w14:textId="77777777" w:rsidTr="00936B38">
        <w:trPr>
          <w:trHeight w:val="281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E997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Zastúpený: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91C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Mgr. Jan Křička, predseda predstavenstva</w:t>
            </w:r>
          </w:p>
        </w:tc>
      </w:tr>
      <w:tr w:rsidR="004425B2" w14:paraId="527E89FC" w14:textId="77777777" w:rsidTr="00936B38">
        <w:trPr>
          <w:trHeight w:val="2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3F1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91A8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Ing. Andrej Nociar, člen predstavenstva</w:t>
            </w:r>
          </w:p>
        </w:tc>
      </w:tr>
      <w:tr w:rsidR="004425B2" w14:paraId="7056D59B" w14:textId="77777777" w:rsidTr="00936B38">
        <w:trPr>
          <w:trHeight w:val="2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BFA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Bankové spojenie: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115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Československá obchodná banka, a.</w:t>
            </w:r>
            <w:r>
              <w:t xml:space="preserve"> </w:t>
            </w:r>
            <w:r w:rsidRPr="00247B7C">
              <w:t>s.</w:t>
            </w:r>
          </w:p>
        </w:tc>
      </w:tr>
      <w:tr w:rsidR="004425B2" w14:paraId="10E332AF" w14:textId="77777777" w:rsidTr="00936B38">
        <w:trPr>
          <w:trHeight w:val="2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997D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IBAN: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25C2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SK41 7500 0000 0001 2510 2633</w:t>
            </w:r>
          </w:p>
        </w:tc>
      </w:tr>
      <w:tr w:rsidR="004425B2" w14:paraId="2CAA12CF" w14:textId="77777777" w:rsidTr="00936B38">
        <w:trPr>
          <w:trHeight w:val="2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27AE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Číslo povolenia</w:t>
            </w:r>
            <w:r>
              <w:t>: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42B0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371EBE">
              <w:t>2013E 0588 - 1. zmena</w:t>
            </w:r>
          </w:p>
        </w:tc>
      </w:tr>
    </w:tbl>
    <w:p w14:paraId="320B7ACE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  <w:r>
        <w:t xml:space="preserve"> </w:t>
      </w:r>
    </w:p>
    <w:p w14:paraId="7D730966" w14:textId="77777777" w:rsidR="004425B2" w:rsidRDefault="004425B2" w:rsidP="00506DA9">
      <w:pPr>
        <w:numPr>
          <w:ilvl w:val="0"/>
          <w:numId w:val="0"/>
        </w:numPr>
        <w:spacing w:after="10"/>
      </w:pPr>
      <w:r>
        <w:t>(ďalej len „</w:t>
      </w:r>
      <w:r w:rsidRPr="006F0F02">
        <w:rPr>
          <w:b/>
          <w:bCs/>
        </w:rPr>
        <w:t>PMDS</w:t>
      </w:r>
      <w:r>
        <w:t xml:space="preserve">“) </w:t>
      </w:r>
    </w:p>
    <w:p w14:paraId="413C82B8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  <w:r>
        <w:t xml:space="preserve"> </w:t>
      </w:r>
    </w:p>
    <w:p w14:paraId="496F9FA4" w14:textId="77777777" w:rsidR="004425B2" w:rsidRDefault="004425B2" w:rsidP="00506DA9">
      <w:pPr>
        <w:numPr>
          <w:ilvl w:val="0"/>
          <w:numId w:val="0"/>
        </w:numPr>
        <w:spacing w:after="10"/>
      </w:pPr>
      <w:r>
        <w:t>a</w:t>
      </w:r>
    </w:p>
    <w:p w14:paraId="5A4C2567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  <w:r>
        <w:rPr>
          <w:sz w:val="20"/>
        </w:rPr>
        <w:t xml:space="preserve"> </w:t>
      </w:r>
    </w:p>
    <w:p w14:paraId="3643BD8E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  <w:r>
        <w:rPr>
          <w:sz w:val="20"/>
        </w:rPr>
        <w:t xml:space="preserve"> </w:t>
      </w:r>
    </w:p>
    <w:tbl>
      <w:tblPr>
        <w:tblStyle w:val="TableGrid"/>
        <w:tblW w:w="10066" w:type="dxa"/>
        <w:tblInd w:w="-108" w:type="dxa"/>
        <w:tblCellMar>
          <w:top w:w="44" w:type="dxa"/>
          <w:left w:w="108" w:type="dxa"/>
          <w:right w:w="699" w:type="dxa"/>
        </w:tblCellMar>
        <w:tblLook w:val="04A0" w:firstRow="1" w:lastRow="0" w:firstColumn="1" w:lastColumn="0" w:noHBand="0" w:noVBand="1"/>
      </w:tblPr>
      <w:tblGrid>
        <w:gridCol w:w="2519"/>
        <w:gridCol w:w="7547"/>
      </w:tblGrid>
      <w:tr w:rsidR="004425B2" w14:paraId="26DCB7E3" w14:textId="77777777" w:rsidTr="00352A65">
        <w:trPr>
          <w:trHeight w:val="278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C1F5" w14:textId="0E132FCD" w:rsidR="004425B2" w:rsidRDefault="00352A65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352A65">
              <w:rPr>
                <w:b/>
              </w:rPr>
              <w:t>Užívateľ</w:t>
            </w:r>
            <w:r>
              <w:rPr>
                <w:b/>
              </w:rPr>
              <w:t xml:space="preserve"> </w:t>
            </w:r>
            <w:r w:rsidRPr="00352A65">
              <w:rPr>
                <w:b/>
              </w:rPr>
              <w:t>miestnej distribučnej sústavy</w:t>
            </w:r>
            <w:r w:rsidR="004425B2">
              <w:rPr>
                <w:b/>
              </w:rPr>
              <w:t xml:space="preserve">: </w:t>
            </w:r>
          </w:p>
        </w:tc>
      </w:tr>
      <w:tr w:rsidR="004425B2" w14:paraId="23475C11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37CF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Obchodné meno: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F0D0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2600673E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F5D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Sídlo: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F554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61813F27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330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Zapísan</w:t>
            </w:r>
            <w:r>
              <w:t xml:space="preserve">ý: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E516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44E655B0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A3EB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IČO: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45AA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330D623D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0CFD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DIČ: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2DC2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1A6ACC74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942E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IČ DPH: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044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14CF58C7" w14:textId="77777777" w:rsidTr="00352A65">
        <w:trPr>
          <w:trHeight w:val="279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943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Zastúpený: 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7EE1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  <w:tr w:rsidR="004425B2" w14:paraId="0E6694D0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985E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 w:rsidRPr="00247B7C">
              <w:t>Bankové spojenie: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253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</w:p>
        </w:tc>
      </w:tr>
      <w:tr w:rsidR="004425B2" w14:paraId="4FB7285F" w14:textId="77777777" w:rsidTr="00352A65">
        <w:trPr>
          <w:trHeight w:val="27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B04E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IBAN: </w:t>
            </w:r>
          </w:p>
        </w:tc>
        <w:tc>
          <w:tcPr>
            <w:tcW w:w="7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5169" w14:textId="77777777" w:rsidR="004425B2" w:rsidRDefault="004425B2" w:rsidP="00506DA9">
            <w:pPr>
              <w:numPr>
                <w:ilvl w:val="0"/>
                <w:numId w:val="0"/>
              </w:numPr>
              <w:spacing w:after="0" w:line="259" w:lineRule="auto"/>
            </w:pPr>
            <w:r>
              <w:t xml:space="preserve"> </w:t>
            </w:r>
          </w:p>
        </w:tc>
      </w:tr>
    </w:tbl>
    <w:p w14:paraId="7D96C103" w14:textId="77777777" w:rsidR="004425B2" w:rsidRDefault="004425B2" w:rsidP="00506DA9">
      <w:pPr>
        <w:numPr>
          <w:ilvl w:val="0"/>
          <w:numId w:val="0"/>
        </w:numPr>
        <w:spacing w:after="0" w:line="259" w:lineRule="auto"/>
      </w:pPr>
      <w:r>
        <w:t xml:space="preserve"> </w:t>
      </w:r>
    </w:p>
    <w:p w14:paraId="1B778BF3" w14:textId="26DAE60C" w:rsidR="004425B2" w:rsidRDefault="004425B2" w:rsidP="00506DA9">
      <w:pPr>
        <w:numPr>
          <w:ilvl w:val="0"/>
          <w:numId w:val="0"/>
        </w:numPr>
        <w:spacing w:after="10"/>
      </w:pPr>
      <w:r>
        <w:t>(ďalej len „</w:t>
      </w:r>
      <w:r w:rsidR="00352A65" w:rsidRPr="00352A65">
        <w:rPr>
          <w:b/>
          <w:bCs/>
        </w:rPr>
        <w:t>Užívateľ</w:t>
      </w:r>
      <w:r>
        <w:t xml:space="preserve">“) </w:t>
      </w:r>
    </w:p>
    <w:p w14:paraId="5440A67E" w14:textId="77777777" w:rsidR="004425B2" w:rsidRDefault="004425B2" w:rsidP="00506DA9">
      <w:pPr>
        <w:numPr>
          <w:ilvl w:val="0"/>
          <w:numId w:val="0"/>
        </w:numPr>
        <w:spacing w:after="19" w:line="259" w:lineRule="auto"/>
      </w:pPr>
      <w:r>
        <w:rPr>
          <w:rFonts w:ascii="Arial" w:eastAsia="Arial" w:hAnsi="Arial" w:cs="Arial"/>
        </w:rPr>
        <w:t xml:space="preserve"> </w:t>
      </w:r>
    </w:p>
    <w:p w14:paraId="4F4018F9" w14:textId="77777777" w:rsidR="004425B2" w:rsidRDefault="004425B2" w:rsidP="00506DA9">
      <w:pPr>
        <w:numPr>
          <w:ilvl w:val="0"/>
          <w:numId w:val="0"/>
        </w:numPr>
        <w:spacing w:after="21" w:line="259" w:lineRule="auto"/>
      </w:pPr>
      <w:r>
        <w:rPr>
          <w:rFonts w:ascii="Arial" w:eastAsia="Arial" w:hAnsi="Arial" w:cs="Arial"/>
        </w:rPr>
        <w:t xml:space="preserve"> </w:t>
      </w:r>
    </w:p>
    <w:p w14:paraId="36F77B48" w14:textId="77777777" w:rsidR="00352A65" w:rsidRDefault="004425B2" w:rsidP="002C4B9D">
      <w:pPr>
        <w:numPr>
          <w:ilvl w:val="0"/>
          <w:numId w:val="0"/>
        </w:numPr>
        <w:spacing w:after="0" w:line="259" w:lineRule="auto"/>
        <w:rPr>
          <w:rFonts w:ascii="Arial" w:eastAsia="Arial" w:hAnsi="Arial" w:cs="Arial"/>
        </w:rPr>
        <w:sectPr w:rsidR="00352A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Arial" w:hAnsi="Arial" w:cs="Arial"/>
        </w:rPr>
        <w:t xml:space="preserve"> </w:t>
      </w:r>
    </w:p>
    <w:p w14:paraId="690AE331" w14:textId="3F83BA15" w:rsidR="004425B2" w:rsidRDefault="00352A65" w:rsidP="00352A65">
      <w:pPr>
        <w:pStyle w:val="Nadpis1"/>
        <w:spacing w:after="120"/>
        <w:ind w:left="340" w:hanging="357"/>
      </w:pPr>
      <w:r>
        <w:lastRenderedPageBreak/>
        <w:t xml:space="preserve"> </w:t>
      </w:r>
      <w:r w:rsidRPr="00352A65">
        <w:t>I. Špecifikácia odberného miesta</w:t>
      </w:r>
    </w:p>
    <w:tbl>
      <w:tblPr>
        <w:tblW w:w="895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4961"/>
      </w:tblGrid>
      <w:tr w:rsidR="00EE1406" w:rsidRPr="00421C48" w14:paraId="71CD02EE" w14:textId="77777777" w:rsidTr="00EE1406">
        <w:trPr>
          <w:trHeight w:hRule="exact" w:val="510"/>
        </w:trPr>
        <w:tc>
          <w:tcPr>
            <w:tcW w:w="8952" w:type="dxa"/>
            <w:gridSpan w:val="2"/>
            <w:vAlign w:val="center"/>
          </w:tcPr>
          <w:p w14:paraId="26D22FEB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>
              <w:t xml:space="preserve">Adresa odberného miesta: </w:t>
            </w:r>
          </w:p>
        </w:tc>
      </w:tr>
      <w:tr w:rsidR="00EE1406" w:rsidRPr="00421C48" w14:paraId="3EC94453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015671E2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421C48">
              <w:t xml:space="preserve">EIC kód: </w:t>
            </w:r>
          </w:p>
        </w:tc>
        <w:tc>
          <w:tcPr>
            <w:tcW w:w="4961" w:type="dxa"/>
            <w:vAlign w:val="center"/>
          </w:tcPr>
          <w:p w14:paraId="60F66064" w14:textId="5DF4B9C4" w:rsidR="00EE1406" w:rsidRPr="00421C48" w:rsidRDefault="00EE1406" w:rsidP="00820F54">
            <w:pPr>
              <w:numPr>
                <w:ilvl w:val="0"/>
                <w:numId w:val="0"/>
              </w:numPr>
            </w:pPr>
          </w:p>
        </w:tc>
      </w:tr>
      <w:tr w:rsidR="00EE1406" w:rsidRPr="00421C48" w14:paraId="5E377842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29A7B4C7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421C48">
              <w:t>Maximálna rezervovaná kapacita</w:t>
            </w:r>
            <w:r>
              <w:t xml:space="preserve"> [kW]</w:t>
            </w:r>
            <w:r w:rsidRPr="00421C48">
              <w:t>:</w:t>
            </w:r>
          </w:p>
        </w:tc>
        <w:tc>
          <w:tcPr>
            <w:tcW w:w="4961" w:type="dxa"/>
            <w:vAlign w:val="center"/>
          </w:tcPr>
          <w:p w14:paraId="17A3A6AA" w14:textId="350F5E76" w:rsidR="00EE1406" w:rsidRPr="00421C48" w:rsidRDefault="00EE1406" w:rsidP="00820F54">
            <w:pPr>
              <w:numPr>
                <w:ilvl w:val="0"/>
                <w:numId w:val="0"/>
              </w:numPr>
            </w:pPr>
          </w:p>
        </w:tc>
      </w:tr>
      <w:tr w:rsidR="00EE1406" w:rsidRPr="00421C48" w14:paraId="402087B9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1B111407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421C48">
              <w:t>Maximálna rezervovaná kapacita:</w:t>
            </w:r>
            <w:r>
              <w:t xml:space="preserve"> [A]</w:t>
            </w:r>
            <w:r w:rsidRPr="00421C48">
              <w:t>:</w:t>
            </w:r>
          </w:p>
        </w:tc>
        <w:tc>
          <w:tcPr>
            <w:tcW w:w="4961" w:type="dxa"/>
            <w:vAlign w:val="center"/>
          </w:tcPr>
          <w:p w14:paraId="56164833" w14:textId="429FABB9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EE1406">
              <w:t>[</w:t>
            </w:r>
            <w:r>
              <w:t xml:space="preserve">   </w:t>
            </w:r>
            <w:r w:rsidRPr="00EE1406">
              <w:t xml:space="preserve"> ] x [ </w:t>
            </w:r>
            <w:r>
              <w:t xml:space="preserve">   </w:t>
            </w:r>
            <w:r w:rsidRPr="00EE1406">
              <w:t>]</w:t>
            </w:r>
          </w:p>
        </w:tc>
      </w:tr>
      <w:tr w:rsidR="00EE1406" w:rsidRPr="00421C48" w14:paraId="5A363026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2570F956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421C48">
              <w:t xml:space="preserve">Spôsob merania </w:t>
            </w:r>
            <w:r>
              <w:t>elektriny</w:t>
            </w:r>
            <w:r w:rsidRPr="00421C48">
              <w:t xml:space="preserve">: </w:t>
            </w:r>
          </w:p>
        </w:tc>
        <w:tc>
          <w:tcPr>
            <w:tcW w:w="4961" w:type="dxa"/>
            <w:vAlign w:val="center"/>
          </w:tcPr>
          <w:p w14:paraId="797F45B9" w14:textId="4DB7F64E" w:rsidR="00EE1406" w:rsidRPr="00421C48" w:rsidRDefault="00EE1406" w:rsidP="00820F54">
            <w:pPr>
              <w:numPr>
                <w:ilvl w:val="0"/>
                <w:numId w:val="0"/>
              </w:numPr>
            </w:pPr>
          </w:p>
        </w:tc>
      </w:tr>
      <w:tr w:rsidR="00EE1406" w:rsidRPr="00421C48" w14:paraId="5B82E587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41A07A3A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>
              <w:t>Špecifikácia miesta pripojenia:</w:t>
            </w:r>
            <w:r w:rsidRPr="00421C48">
              <w:t xml:space="preserve"> </w:t>
            </w:r>
          </w:p>
        </w:tc>
        <w:tc>
          <w:tcPr>
            <w:tcW w:w="4961" w:type="dxa"/>
            <w:vAlign w:val="center"/>
          </w:tcPr>
          <w:p w14:paraId="2CEBA5A4" w14:textId="2C07C86B" w:rsidR="00EE1406" w:rsidRPr="00421C48" w:rsidRDefault="00EE1406" w:rsidP="00820F54">
            <w:pPr>
              <w:numPr>
                <w:ilvl w:val="0"/>
                <w:numId w:val="0"/>
              </w:numPr>
            </w:pPr>
          </w:p>
        </w:tc>
      </w:tr>
      <w:tr w:rsidR="00EE1406" w:rsidRPr="00421C48" w14:paraId="256BD586" w14:textId="77777777" w:rsidTr="00EE1406">
        <w:trPr>
          <w:trHeight w:hRule="exact" w:val="510"/>
        </w:trPr>
        <w:tc>
          <w:tcPr>
            <w:tcW w:w="3991" w:type="dxa"/>
            <w:vAlign w:val="center"/>
          </w:tcPr>
          <w:p w14:paraId="46711D41" w14:textId="77777777" w:rsidR="00EE1406" w:rsidRPr="00421C48" w:rsidRDefault="00EE1406" w:rsidP="00820F54">
            <w:pPr>
              <w:numPr>
                <w:ilvl w:val="0"/>
                <w:numId w:val="0"/>
              </w:numPr>
            </w:pPr>
            <w:r w:rsidRPr="00421C48">
              <w:t xml:space="preserve">Napäťová hladina odovzdávacieho miesta: </w:t>
            </w:r>
          </w:p>
        </w:tc>
        <w:tc>
          <w:tcPr>
            <w:tcW w:w="4961" w:type="dxa"/>
            <w:vAlign w:val="center"/>
          </w:tcPr>
          <w:p w14:paraId="47AC6128" w14:textId="57ED520A" w:rsidR="00EE1406" w:rsidRPr="00421C48" w:rsidRDefault="00EE1406" w:rsidP="00820F54">
            <w:pPr>
              <w:numPr>
                <w:ilvl w:val="0"/>
                <w:numId w:val="0"/>
              </w:numPr>
            </w:pPr>
          </w:p>
        </w:tc>
      </w:tr>
    </w:tbl>
    <w:p w14:paraId="69A503EA" w14:textId="25125D55" w:rsidR="00083BF6" w:rsidRDefault="00083BF6" w:rsidP="00506DA9">
      <w:pPr>
        <w:numPr>
          <w:ilvl w:val="0"/>
          <w:numId w:val="0"/>
        </w:numPr>
        <w:ind w:left="5760"/>
      </w:pPr>
    </w:p>
    <w:p w14:paraId="44E4E4AD" w14:textId="77777777" w:rsidR="00AB523F" w:rsidRPr="00AB523F" w:rsidRDefault="00AB523F" w:rsidP="00AB523F">
      <w:pPr>
        <w:pStyle w:val="Nadpis1"/>
        <w:spacing w:after="120"/>
        <w:ind w:left="340" w:hanging="357"/>
      </w:pPr>
      <w:r w:rsidRPr="00AB523F">
        <w:t>II. Predmet Zmluvy</w:t>
      </w:r>
    </w:p>
    <w:p w14:paraId="1C259C43" w14:textId="3E59AD14" w:rsidR="00AB523F" w:rsidRPr="00AB523F" w:rsidRDefault="00AB523F" w:rsidP="00B344BA">
      <w:pPr>
        <w:pStyle w:val="Pa7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2.1. Táto Zmluva sa uzatvára z dôvodu umožnenia pripojenia odberného elektrického zariadenia Užívateľa do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miestnej 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distribučnej sústavy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FORTISCHEM (ďalej len „</w:t>
      </w:r>
      <w:r w:rsidRPr="00AB523F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“)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, zabezpečenia dohodnutej kapacity vo výške maximálnej rezervovanej kapacity (ďalej len „</w:t>
      </w:r>
      <w:r w:rsidRPr="00AB523F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  <w:t>MRK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“) uvedenej v čl.</w:t>
      </w:r>
      <w:r w:rsidR="003A65F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I Zmluvy a: </w:t>
      </w:r>
    </w:p>
    <w:p w14:paraId="69E880E4" w14:textId="77777777" w:rsidR="00AB523F" w:rsidRPr="00AB523F" w:rsidRDefault="00AB523F" w:rsidP="00B344BA">
      <w:pPr>
        <w:pStyle w:val="Pa7"/>
        <w:ind w:left="992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- zmeny užívateľa sústavy na existujúcom odbernom mieste špecifikovanom v čl. I. Zmluvy, </w:t>
      </w:r>
    </w:p>
    <w:p w14:paraId="17A5A0C5" w14:textId="77777777" w:rsidR="00AB523F" w:rsidRPr="00AB523F" w:rsidRDefault="00AB523F" w:rsidP="00AB523F">
      <w:pPr>
        <w:pStyle w:val="Pa7"/>
        <w:spacing w:after="60"/>
        <w:ind w:left="993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- aktualizácie zmluvných údajov.</w:t>
      </w:r>
    </w:p>
    <w:p w14:paraId="4815554C" w14:textId="65B91065" w:rsidR="00AB523F" w:rsidRPr="00AB523F" w:rsidRDefault="00AB523F" w:rsidP="00B344BA">
      <w:pPr>
        <w:pStyle w:val="Pa7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2.2.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sa zaväzuje v prípade splnenia podmienok dohodnutých v tejto Zmluve umožniť pripojenie odberného elektrického zariadenia Užívateľa do </w:t>
      </w:r>
      <w:r w:rsid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, zabezpečiť dohodnutú kapacitu vo výške MRK uvedenej v čl. I Zmluvy a: </w:t>
      </w:r>
    </w:p>
    <w:p w14:paraId="75761322" w14:textId="185B74A9" w:rsidR="00AB523F" w:rsidRPr="00AB523F" w:rsidRDefault="00AB523F" w:rsidP="00B344BA">
      <w:pPr>
        <w:pStyle w:val="Pa7"/>
        <w:ind w:left="851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- umožniť zmenu Užívateľa na existujúcom odbernom mieste špecifikovanom v čl. I Zmluvy, </w:t>
      </w:r>
    </w:p>
    <w:p w14:paraId="4DC8E6FA" w14:textId="77777777" w:rsidR="00AB523F" w:rsidRPr="00AB523F" w:rsidRDefault="00AB523F" w:rsidP="005C0699">
      <w:pPr>
        <w:pStyle w:val="Pa7"/>
        <w:spacing w:after="120"/>
        <w:ind w:left="851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AB523F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- aktualizovať zmluvné údaje.</w:t>
      </w:r>
    </w:p>
    <w:p w14:paraId="241B49D4" w14:textId="41DFC114" w:rsidR="00AB523F" w:rsidRDefault="00AB523F" w:rsidP="005C0699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2.3. Užívateľ sa zaväzuje dodržiavať všetky svoje povinnosti vyplývajúce mu zo Zmluvy, a príslušných právnych predpisov a neprekračovať MRK dohodnutú v čl. I. Zmluvy.</w:t>
      </w:r>
    </w:p>
    <w:p w14:paraId="3406120A" w14:textId="33D2D691" w:rsidR="005C0699" w:rsidRDefault="005C0699" w:rsidP="00506DA9">
      <w:pPr>
        <w:numPr>
          <w:ilvl w:val="0"/>
          <w:numId w:val="0"/>
        </w:numPr>
      </w:pPr>
    </w:p>
    <w:p w14:paraId="3236FDA4" w14:textId="77777777" w:rsidR="005C0699" w:rsidRPr="005C0699" w:rsidRDefault="005C0699" w:rsidP="005C0699">
      <w:pPr>
        <w:pStyle w:val="Nadpis1"/>
        <w:spacing w:after="120"/>
        <w:ind w:left="340" w:hanging="357"/>
      </w:pPr>
      <w:r w:rsidRPr="005C0699">
        <w:t>III. Cena za pripojenie</w:t>
      </w:r>
    </w:p>
    <w:p w14:paraId="02AD3D18" w14:textId="0F036287" w:rsidR="005C0699" w:rsidRDefault="005C0699" w:rsidP="005C0699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3.1. Nakoľko odberné miesto uvedené v čl. I. Zmluvy je v čase uzatvorenia tejto Zmluvy už pripojené do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, pričom nedochádza k takej zmene na odbernom mieste, ktorá by zakladala Užívateľovi povinnosť uhradiť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cenu za pripojenie, Užívateľovi sa cena za pripojenie v súvislosti s uzatvorením tejto Zmluvy neúčtuje.</w:t>
      </w:r>
    </w:p>
    <w:p w14:paraId="32BEBF7D" w14:textId="77777777" w:rsidR="005C0699" w:rsidRPr="005C0699" w:rsidRDefault="005C0699" w:rsidP="00506DA9">
      <w:pPr>
        <w:numPr>
          <w:ilvl w:val="0"/>
          <w:numId w:val="0"/>
        </w:numPr>
      </w:pPr>
    </w:p>
    <w:p w14:paraId="4B0D8441" w14:textId="77777777" w:rsidR="005C0699" w:rsidRPr="005C0699" w:rsidRDefault="005C0699" w:rsidP="005C0699">
      <w:pPr>
        <w:pStyle w:val="Nadpis1"/>
        <w:spacing w:after="120"/>
        <w:ind w:left="340" w:hanging="357"/>
      </w:pPr>
      <w:r w:rsidRPr="005C0699">
        <w:t>IV. Neoprávnený odber</w:t>
      </w:r>
    </w:p>
    <w:p w14:paraId="13EADAA6" w14:textId="38BCBD17" w:rsidR="005C0699" w:rsidRDefault="005C0699" w:rsidP="005C0699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4.1. Zmluvné strany berú na vedomie, že neoprávneným odberom elektriny je odber elektriny bez uzavretej zmluvy o pripojení do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alebo v rozpore s touto Zmluvou. Pri neoprávnenom odbere elektriny je ten, kto elektrinu odoberal, povinný uhradiť skutočne vzniknutú škodu. Ak nemožno vyčísliť skutočne vzniknutú škodu na základe objektívnych a spoľahlivých podkladov, použije sa spôsob výpočtu škody spôsobenej neoprávneným odberom elektriny ustanovený príslušným všeobecne záväzným právnym predpisom.</w:t>
      </w:r>
    </w:p>
    <w:p w14:paraId="403B30BC" w14:textId="77777777" w:rsidR="005C0699" w:rsidRDefault="005C0699" w:rsidP="005C0699">
      <w:pPr>
        <w:numPr>
          <w:ilvl w:val="0"/>
          <w:numId w:val="0"/>
        </w:numPr>
      </w:pPr>
    </w:p>
    <w:p w14:paraId="0156B9C0" w14:textId="77777777" w:rsidR="005C0699" w:rsidRPr="005C0699" w:rsidRDefault="005C0699" w:rsidP="005C0699">
      <w:pPr>
        <w:pStyle w:val="Nadpis1"/>
        <w:spacing w:after="120"/>
        <w:ind w:left="340" w:hanging="357"/>
      </w:pPr>
      <w:r w:rsidRPr="005C0699">
        <w:lastRenderedPageBreak/>
        <w:t>V. Podmienky pripojenia</w:t>
      </w:r>
    </w:p>
    <w:p w14:paraId="7720AE26" w14:textId="18D65698" w:rsidR="005C0699" w:rsidRPr="005C0699" w:rsidRDefault="005C0699" w:rsidP="00BF7946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5.1. Pripojenie k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sa uskutočňuje v súlade s touto Zmluvou,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s platným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Prevádzkov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ým poriadkom PMDS 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(ďalej len „</w:t>
      </w:r>
      <w:r w:rsidRPr="003A65F9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“), Technickými podmienkami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(ďalej „</w:t>
      </w:r>
      <w:r w:rsidRPr="003A65F9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  <w:t>TP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“) a v súlade s platnými všeobecne záväznými právnymi predpismi, s ktorými sa zmluvné strany riadne oboznámili.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a TP sú k dispozícii na webovom sídle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PMDS 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www.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fortischem.sk.</w:t>
      </w:r>
    </w:p>
    <w:p w14:paraId="3BC5D8E0" w14:textId="10AC4CC4" w:rsidR="005C0699" w:rsidRPr="005C0699" w:rsidRDefault="005C0699" w:rsidP="00BF7946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5.2. </w:t>
      </w:r>
      <w:r w:rsidR="006F5E3E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poskytne Užívateľovi plnenie podľa článku II. tejto Zmluvy len po splnení všetkých povinností Užívateľa uvedených v Zmluve, </w:t>
      </w:r>
      <w:r w:rsid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 a</w:t>
      </w:r>
      <w:r w:rsidRPr="005C069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TP.</w:t>
      </w:r>
    </w:p>
    <w:p w14:paraId="6B2003B6" w14:textId="01088194" w:rsidR="005C0699" w:rsidRDefault="005C0699" w:rsidP="00BF7946">
      <w:pPr>
        <w:pStyle w:val="Pa7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5.</w:t>
      </w:r>
      <w:r w:rsid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3</w:t>
      </w: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. Užívateľ svojím podpisom Zmluvy potvrdzuje, že je vlastníkom nehnuteľnosti, respektíve disponuje súhlasmi s nakladaním s nehnuteľnosťou od vlastníkov, ktorí majú v súhrne nadpolovičný vlastnícky podiel k nehnuteľnosti, v ktorej sa nachádza odberné miesto špecifikované v čl. I. Zmluvy. Užívateľ prehlasuje, že pre účely tejto Zmluvy je v zmysle platnej legislatívy oprávnený s uvedenou nehnuteľnosťou nakladať, čo je na požiadanie </w:t>
      </w:r>
      <w:r w:rsid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povinný preukázať.</w:t>
      </w:r>
    </w:p>
    <w:p w14:paraId="7C4588D8" w14:textId="77777777" w:rsidR="00BF7946" w:rsidRDefault="00BF7946" w:rsidP="00BF7946">
      <w:pPr>
        <w:numPr>
          <w:ilvl w:val="0"/>
          <w:numId w:val="0"/>
        </w:numPr>
      </w:pPr>
    </w:p>
    <w:p w14:paraId="1C3E85C3" w14:textId="77777777" w:rsidR="00BF7946" w:rsidRPr="00BF7946" w:rsidRDefault="00BF7946" w:rsidP="00BF7946">
      <w:pPr>
        <w:pStyle w:val="Nadpis1"/>
        <w:spacing w:after="120"/>
        <w:ind w:left="340" w:hanging="357"/>
      </w:pPr>
      <w:r w:rsidRPr="00BF7946">
        <w:t>VI. Termín realizácie pripojenia</w:t>
      </w:r>
    </w:p>
    <w:p w14:paraId="259E40FD" w14:textId="67820FFD" w:rsidR="00BF7946" w:rsidRPr="00BF7946" w:rsidRDefault="00BF7946" w:rsidP="00BF7946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6.1.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PMDS </w:t>
      </w: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umožní pripojenie Užívateľa spôsobom podľa čl. II Zmluvy po splnení podmienok tejto Zmluvy,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PP, a </w:t>
      </w: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TP.</w:t>
      </w:r>
    </w:p>
    <w:p w14:paraId="432FF7C3" w14:textId="1C451030" w:rsidR="00BF7946" w:rsidRPr="00BF7946" w:rsidRDefault="00BF7946" w:rsidP="00BF7946">
      <w:pPr>
        <w:pStyle w:val="Pa7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6.2. Odberné miesto uvedené v čl. I. Zmluvy, je ku dňu nadobudnutia platnosti a účinnosti tejto Zmluvy pripojené do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MDS</w:t>
      </w: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.</w:t>
      </w:r>
    </w:p>
    <w:p w14:paraId="138476E9" w14:textId="77777777" w:rsidR="00BF7946" w:rsidRPr="00BF7946" w:rsidRDefault="00BF7946" w:rsidP="00BF7946">
      <w:pPr>
        <w:numPr>
          <w:ilvl w:val="0"/>
          <w:numId w:val="0"/>
        </w:numPr>
      </w:pPr>
    </w:p>
    <w:p w14:paraId="2240C31E" w14:textId="77777777" w:rsidR="00BF7946" w:rsidRPr="00BF7946" w:rsidRDefault="00BF7946" w:rsidP="00BF7946">
      <w:pPr>
        <w:pStyle w:val="Nadpis1"/>
        <w:spacing w:after="120"/>
        <w:ind w:left="340" w:hanging="357"/>
      </w:pPr>
      <w:r w:rsidRPr="00BF7946">
        <w:t xml:space="preserve">VII. Platnosť Zmluvy a ukončenie Zmluvy </w:t>
      </w:r>
    </w:p>
    <w:p w14:paraId="17EB96EB" w14:textId="2CA0BFBB" w:rsidR="00BF7946" w:rsidRDefault="00BF7946" w:rsidP="00F02AA2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BF7946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7.1. Zmluva bola vypracovaná na základe žiadosti Užívateľa a na základe ním dodaných podkladov potrebných pre vypracovanie Zmluvy a uzatvára sa na dobu neurčitú. Užívateľ s podmienkami uvedenými v Zmluve uzatvorením Zmluvy súhlasil.</w:t>
      </w:r>
    </w:p>
    <w:p w14:paraId="62CEEE67" w14:textId="77777777" w:rsidR="00F02AA2" w:rsidRPr="00F02AA2" w:rsidRDefault="00F02AA2" w:rsidP="00F02AA2">
      <w:pPr>
        <w:pStyle w:val="Pa7"/>
        <w:spacing w:after="60"/>
        <w:ind w:left="709" w:hanging="380"/>
        <w:jc w:val="both"/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eastAsia="sk-SK"/>
          <w14:ligatures w14:val="standardContextual"/>
        </w:rPr>
        <w:t>Zmluvu možno ukončiť:</w:t>
      </w:r>
    </w:p>
    <w:p w14:paraId="379CC301" w14:textId="7B514147" w:rsidR="00F02AA2" w:rsidRPr="00F02AA2" w:rsidRDefault="00F02AA2" w:rsidP="00F02AA2">
      <w:pPr>
        <w:pStyle w:val="Pa7"/>
        <w:spacing w:after="60"/>
        <w:ind w:left="709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a) písomnou dohodou zmluvných strán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,</w:t>
      </w:r>
    </w:p>
    <w:p w14:paraId="13F1D22F" w14:textId="424E9932" w:rsidR="00F02AA2" w:rsidRPr="00F02AA2" w:rsidRDefault="00F02AA2" w:rsidP="00F02AA2">
      <w:pPr>
        <w:pStyle w:val="Pa7"/>
        <w:spacing w:after="60"/>
        <w:ind w:left="709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b) spôsobmi ustanovenými v 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a v platných právnych predpisoch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,</w:t>
      </w:r>
    </w:p>
    <w:p w14:paraId="3F19203A" w14:textId="35510ED8" w:rsidR="00F02AA2" w:rsidRPr="00F02AA2" w:rsidRDefault="00F02AA2" w:rsidP="00865352">
      <w:pPr>
        <w:pStyle w:val="Pa7"/>
        <w:spacing w:after="60"/>
        <w:ind w:left="426" w:hanging="97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c) odstúpením Užívateľa od Zmluvy v prípade podstatného porušenia tejto Zmluvy zo strany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. Podstatným porušením tejto Zmluvy zo strany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je opakované nesplnenie povinností podľa tejto Zmluvy a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zo strany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a to ani v dodatočnej lehote nie kratšej ako 30 dní poskytnutej Užívateľom na základe písomnej výzvy doručenej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. Odstúpenie nadobúda účinnosť dňom jeho písomného doručenia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.</w:t>
      </w:r>
    </w:p>
    <w:p w14:paraId="41F63207" w14:textId="7EE5557F" w:rsidR="00F02AA2" w:rsidRPr="00F02AA2" w:rsidRDefault="00F02AA2" w:rsidP="00865352">
      <w:pPr>
        <w:pStyle w:val="Pa7"/>
        <w:spacing w:after="60"/>
        <w:ind w:left="426" w:hanging="142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d) odstúpením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od Zmluvy, ak Užívateľ poruší povinnosť ustanovenú v Zmluve, alebo v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a k náprave nedôjde ani na základe písomného upozornenia zo strany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.</w:t>
      </w:r>
    </w:p>
    <w:p w14:paraId="1CEA1208" w14:textId="49E2AD95" w:rsidR="00F02AA2" w:rsidRPr="00F02AA2" w:rsidRDefault="00F02AA2" w:rsidP="00865352">
      <w:pPr>
        <w:pStyle w:val="Pa7"/>
        <w:spacing w:after="60"/>
        <w:ind w:left="426" w:hanging="142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e) odstúpením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od Zmluvy aj bez predchádzajúceho písomného upozornenia a to v prípadoch podstatného porušenia Zmluvy alebo </w:t>
      </w:r>
      <w:r w:rsidR="0086535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PP</w:t>
      </w:r>
      <w:r w:rsidRPr="00F02AA2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.</w:t>
      </w:r>
    </w:p>
    <w:p w14:paraId="0776919F" w14:textId="46ED08C4" w:rsidR="00F02AA2" w:rsidRDefault="00F02AA2" w:rsidP="00893144">
      <w:pPr>
        <w:pStyle w:val="Pa7"/>
        <w:spacing w:after="60"/>
        <w:ind w:left="426" w:hanging="142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f) výpoveďou zo strany </w:t>
      </w:r>
      <w:r w:rsidR="00865352"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, ak Užívateľ nezačal pridelenú MRK ani po uplynutí 12 mesiacov od pripojenia odberného elektrického zariadenia využívať, čo viedlo k jej zníženiu zo strany </w:t>
      </w:r>
      <w:r w:rsidR="00865352"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PMDS</w:t>
      </w:r>
      <w:r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, a ani po znížení MRK Užívateľ nezačal ani túto zníženú hodnotu MRK do 12 mesiacov od jej zníženia využívať. Dĺžka výpovednej lehoty je v takomto prípade jeden mesiac a začína plynúť prvým dňom mesiaca nasledujúceho po mesiaci, v ktorom bola výpoveď </w:t>
      </w:r>
      <w:r w:rsidR="00865352"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Užívateľovi</w:t>
      </w:r>
      <w:r w:rsidRPr="00853669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 xml:space="preserve"> doručená a uplynie posledným dňom príslušného mesiaca.</w:t>
      </w:r>
    </w:p>
    <w:p w14:paraId="62381330" w14:textId="62AEEE23" w:rsidR="00865352" w:rsidRDefault="00865352" w:rsidP="00893144">
      <w:pPr>
        <w:pStyle w:val="Pa7"/>
        <w:ind w:left="380" w:hanging="38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</w:pPr>
      <w:r w:rsidRPr="00893144">
        <w:rPr>
          <w:rFonts w:ascii="Calibri" w:eastAsia="Calibri" w:hAnsi="Calibri" w:cs="Calibri"/>
          <w:color w:val="000000"/>
          <w:kern w:val="2"/>
          <w:sz w:val="22"/>
          <w:szCs w:val="22"/>
          <w:lang w:eastAsia="sk-SK"/>
          <w14:ligatures w14:val="standardContextual"/>
        </w:rPr>
        <w:t>7.2. Zmluva taktiež zaniká uzatvorením novej zmluvy o pripojení medzi zmluvnými stranami pre odberné miesto špecifikované v čl. I. Zmluvy, ktorá túto Zmluvu nahrádza. V takomto prípade Zmluva zaniká dňom nadobudnutia účinnosti novej zmluvy o pripojení.</w:t>
      </w:r>
    </w:p>
    <w:p w14:paraId="06D01A90" w14:textId="77777777" w:rsidR="00BA3A55" w:rsidRDefault="00BA3A55" w:rsidP="00BA3A55">
      <w:pPr>
        <w:numPr>
          <w:ilvl w:val="0"/>
          <w:numId w:val="0"/>
        </w:numPr>
      </w:pPr>
    </w:p>
    <w:p w14:paraId="31B60F36" w14:textId="77777777" w:rsidR="00BA3A55" w:rsidRDefault="00BA3A55" w:rsidP="00BA3A55">
      <w:pPr>
        <w:pStyle w:val="Nadpis1"/>
        <w:spacing w:after="120"/>
        <w:ind w:left="340" w:hanging="357"/>
      </w:pPr>
      <w:r>
        <w:lastRenderedPageBreak/>
        <w:t>VIII. Záverečné ustanovenia</w:t>
      </w:r>
    </w:p>
    <w:p w14:paraId="548FFBC6" w14:textId="5B71EFC7" w:rsidR="00BA3A55" w:rsidRPr="00BA3A55" w:rsidRDefault="00BA3A55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1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Zmluva je platná a účinná dňom jej podpisu oboma zmluvnými stranami.</w:t>
      </w:r>
    </w:p>
    <w:p w14:paraId="40B2AFDC" w14:textId="68DA93CA" w:rsidR="00BA3A55" w:rsidRPr="00BA3A55" w:rsidRDefault="00BA3A55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2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. Uzavretím Zmluvy Užívateľ berie na vedomie vznik práv a povinností pre 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a Užívateľa, ktoré pre nich vyplývajú z tejto Zmluvy, 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PP a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TP.</w:t>
      </w:r>
    </w:p>
    <w:p w14:paraId="7265AD88" w14:textId="02250FB2" w:rsidR="00BA3A55" w:rsidRDefault="00BA3A55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3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Užívateľ je v zmysle §39 odsek 11 zákona č. 251/2012 Z.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z. zákona o energetike a o zmene a doplnení niektorých zákonov povinný umožniť bezodplatne 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PMDS 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distribúciu elektriny cez svoje odberné elektrické zariadenie, ktoré je pripojené do </w:t>
      </w:r>
      <w:r w:rsid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MDS</w:t>
      </w:r>
      <w:r w:rsidRPr="00BA3A55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zaslučkovaním. Porušenie tejto povinnosti zo strany Užívateľa je podstatným porušením Zmluvy.</w:t>
      </w:r>
    </w:p>
    <w:p w14:paraId="74CEB3E6" w14:textId="46AC7D40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4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. Užívateľ vyhlasuje, že údaje a podklady, ktoré poskytol, sú správne a technický a právny stav odberného miesta umožňuje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pripojenie Užívateľa do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V prípade, že dôjde k zmene údajov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týkajúcich sa Užívateľa uvedených v tejto Zmluve, je Užívateľ povinný bezodkladne, najneskôr však do 7 dní od zmeny týchto údajov, oznámiť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PMDS 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takúto zmenu. Nesplnenie tejto povinnosti zo strany Užívateľa môže byť posúdené ako neposkytnutie súčinnosti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ako regulovanému subjektu, nevyhnutnej na dodržanie štandardov kvality v zmysle vyhlášky ÚRSO č. 236/2016 Z.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z., ktorou sa ustanovujú štandardy kvality a prenosu elektriny, distribúcie elektriny a dodávky elektriny v prípade, že údaje týkajúce sa Užívateľa uvedené v tejto Zmluve, sú nevyhnutné na zabezpečenie dodržania štandardov kvality zo strany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</w:t>
      </w:r>
    </w:p>
    <w:p w14:paraId="38D86D26" w14:textId="244ED3A1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sz w:val="20"/>
          <w:szCs w:val="20"/>
        </w:rPr>
        <w:t>8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5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. 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je povinn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ý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dodržiavať a vyhodnocovať štandardy kvality v zmysle vyhlášky ÚRSO č. 236/2016 Z.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z.. Vyhodnotenie štandardov kvality zverejňuje 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na svojom webovom sídle www.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fortischem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.sk.</w:t>
      </w:r>
    </w:p>
    <w:p w14:paraId="61E0288A" w14:textId="1151A60B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6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. ÚRSO rozhoduje spory medzi 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a Užívateľom podľa §38 Zákona č. 250/2012 Z.</w:t>
      </w:r>
      <w:r w:rsidR="003A65F9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z. o regulácii v sieťových odvetviach (ďalej len „</w:t>
      </w:r>
      <w:r w:rsidRPr="00820F54">
        <w:rPr>
          <w:rFonts w:ascii="Calibri" w:eastAsia="Calibri" w:hAnsi="Calibri" w:cs="Calibri"/>
          <w:b/>
          <w:bCs/>
          <w:kern w:val="2"/>
          <w:sz w:val="22"/>
          <w:szCs w:val="22"/>
          <w:lang w:eastAsia="sk-SK"/>
          <w14:ligatures w14:val="standardContextual"/>
        </w:rPr>
        <w:t>Zákon o regulácii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“), ak 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a Užívateľ nedosiahli dohodu na riešení sporu, ak s tým obaja účastníci sporového konania súhlasia a ak od porušenia povinnosti účastníka sporového konania neuplynul viac ako jeden rok, inak vo veci rozhoduje súd.</w:t>
      </w:r>
    </w:p>
    <w:p w14:paraId="6F8018E3" w14:textId="5F66CDBE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7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Užívateľ je podľa §37 Zákona o regulácii oprávnený predložiť ÚRSO na alternatívne riešenie spor s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PMDS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, ak sa ohľadom predmetu sporu uskutočnilo reklamačné konanie a Užívateľ nesúhlasí s výsledkom reklamácie alebo so spôsobom jej vybavenia; možnosť obrátiť sa na súd tým nie je dotknutá. Návrh na alternatívne riešenie sporu je potrebné predložiť najneskôr do 45 dní od doručenia vybavenia reklamácie.</w:t>
      </w:r>
    </w:p>
    <w:p w14:paraId="2047A5BE" w14:textId="72EA3B44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Zmluva je vyhotovená v dvoch rovnopisoch, z ktorých obe zmluvné strany obdržia po 1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 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vyhotovení.</w:t>
      </w:r>
    </w:p>
    <w:p w14:paraId="77AE2570" w14:textId="0C17485D" w:rsidR="00820F54" w:rsidRPr="00820F54" w:rsidRDefault="00820F54" w:rsidP="00820F54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9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Zmluvné strany sa dohodli, že právny vzťah založený touto Zmluvou sa riadi a spravuje právnym poriadkom Slovenskej republiky. Zmluvné strany sa dohodli, že zmluvný vzťah sa riadi Obchodným zákonníkom, Zákonom o energetike, príslušnými vyhláškami Ministerstva hospodárstva SR, vyhláškami a rozhodnutiami ÚRSO,</w:t>
      </w:r>
      <w:r w:rsid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PP,</w:t>
      </w:r>
      <w:r w:rsidRPr="00820F54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TP a ostatnými všeobecne záväznými právnymi predpismi.</w:t>
      </w:r>
    </w:p>
    <w:p w14:paraId="6CABA76F" w14:textId="51315ACF" w:rsidR="005A349E" w:rsidRPr="005A349E" w:rsidRDefault="005A349E" w:rsidP="005A349E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8.1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0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Zmluvné strany prehlasujú, že Zmluvu uzatvárajú po jej dôkladnom prečítaní slobodne, na základe vlastnej vôle, vážne a nie v tiesni, alebo nápadne nevýhodných podmienok.</w:t>
      </w:r>
    </w:p>
    <w:p w14:paraId="0E24CE3D" w14:textId="18511CD2" w:rsidR="00820F54" w:rsidRDefault="005A349E" w:rsidP="005A349E">
      <w:pPr>
        <w:pStyle w:val="Pa7"/>
        <w:spacing w:after="60"/>
        <w:ind w:left="380" w:hanging="380"/>
        <w:jc w:val="both"/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</w:pP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8.1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1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 T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á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to Zmluv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a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sa 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m</w:t>
      </w:r>
      <w:r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ôže</w:t>
      </w:r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 xml:space="preserve"> meniť či doplňovať len písomnými dodatkami </w:t>
      </w:r>
      <w:bookmarkStart w:id="0" w:name="_Hlk152589671"/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podpísanými oprávnenými zástupcami oboch Zmluvných strán</w:t>
      </w:r>
      <w:bookmarkEnd w:id="0"/>
      <w:r w:rsidRPr="005A349E">
        <w:rPr>
          <w:rFonts w:ascii="Calibri" w:eastAsia="Calibri" w:hAnsi="Calibri" w:cs="Calibri"/>
          <w:kern w:val="2"/>
          <w:sz w:val="22"/>
          <w:szCs w:val="22"/>
          <w:lang w:eastAsia="sk-SK"/>
          <w14:ligatures w14:val="standardContextual"/>
        </w:rPr>
        <w:t>.</w:t>
      </w:r>
    </w:p>
    <w:p w14:paraId="7316FF65" w14:textId="77777777" w:rsidR="005A349E" w:rsidRDefault="005A349E" w:rsidP="005A349E">
      <w:pPr>
        <w:pStyle w:val="Default"/>
        <w:rPr>
          <w:lang w:eastAsia="sk-SK"/>
        </w:rPr>
      </w:pPr>
    </w:p>
    <w:p w14:paraId="51FC7F3B" w14:textId="77777777" w:rsidR="005A349E" w:rsidRDefault="005A349E" w:rsidP="005A349E">
      <w:pPr>
        <w:pStyle w:val="Default"/>
        <w:rPr>
          <w:lang w:eastAsia="sk-SK"/>
        </w:rPr>
      </w:pPr>
    </w:p>
    <w:p w14:paraId="09282F48" w14:textId="16AF5950" w:rsidR="005A349E" w:rsidRDefault="005A349E" w:rsidP="00506DA9">
      <w:pPr>
        <w:numPr>
          <w:ilvl w:val="0"/>
          <w:numId w:val="0"/>
        </w:numPr>
        <w:spacing w:after="0" w:line="259" w:lineRule="auto"/>
        <w:rPr>
          <w:rFonts w:ascii="Arial" w:eastAsia="Arial" w:hAnsi="Arial" w:cs="Arial"/>
        </w:rPr>
      </w:pPr>
      <w:r>
        <w:t>V Novákoch, dňa ______________</w:t>
      </w:r>
      <w:r>
        <w:tab/>
      </w:r>
      <w:r>
        <w:tab/>
      </w:r>
      <w:r>
        <w:tab/>
      </w:r>
      <w:r>
        <w:tab/>
        <w:t>V _______________, dňa __________</w:t>
      </w:r>
    </w:p>
    <w:p w14:paraId="65AA8E62" w14:textId="77777777" w:rsidR="005A349E" w:rsidRDefault="005A349E" w:rsidP="00506DA9">
      <w:pPr>
        <w:numPr>
          <w:ilvl w:val="0"/>
          <w:numId w:val="0"/>
        </w:numPr>
        <w:tabs>
          <w:tab w:val="left" w:pos="5670"/>
        </w:tabs>
        <w:spacing w:after="0" w:line="259" w:lineRule="auto"/>
      </w:pPr>
    </w:p>
    <w:p w14:paraId="5B252C67" w14:textId="7718D98F" w:rsidR="005A349E" w:rsidRPr="00D055A3" w:rsidRDefault="005A349E" w:rsidP="00506DA9">
      <w:pPr>
        <w:numPr>
          <w:ilvl w:val="0"/>
          <w:numId w:val="0"/>
        </w:numPr>
        <w:tabs>
          <w:tab w:val="left" w:pos="5670"/>
        </w:tabs>
        <w:spacing w:after="10"/>
        <w:rPr>
          <w:b/>
          <w:bCs/>
        </w:rPr>
      </w:pPr>
      <w:r w:rsidRPr="00D055A3">
        <w:rPr>
          <w:b/>
          <w:bCs/>
        </w:rPr>
        <w:t xml:space="preserve">Za PMDS: </w:t>
      </w:r>
      <w:r w:rsidRPr="00D055A3">
        <w:rPr>
          <w:b/>
          <w:bCs/>
        </w:rPr>
        <w:tab/>
        <w:t xml:space="preserve">Za </w:t>
      </w:r>
      <w:r>
        <w:rPr>
          <w:b/>
          <w:bCs/>
        </w:rPr>
        <w:t>Užívateľa</w:t>
      </w:r>
      <w:r w:rsidRPr="00D055A3">
        <w:rPr>
          <w:b/>
          <w:bCs/>
        </w:rPr>
        <w:t xml:space="preserve">: </w:t>
      </w:r>
    </w:p>
    <w:p w14:paraId="3C254D5A" w14:textId="76787901" w:rsidR="005A349E" w:rsidRDefault="005A349E" w:rsidP="00506DA9">
      <w:pPr>
        <w:numPr>
          <w:ilvl w:val="0"/>
          <w:numId w:val="0"/>
        </w:numPr>
        <w:tabs>
          <w:tab w:val="left" w:pos="5670"/>
        </w:tabs>
        <w:spacing w:after="0" w:line="259" w:lineRule="auto"/>
      </w:pPr>
    </w:p>
    <w:p w14:paraId="7E1538AE" w14:textId="1E290AA2" w:rsidR="005A349E" w:rsidRDefault="005A349E" w:rsidP="00506DA9">
      <w:pPr>
        <w:numPr>
          <w:ilvl w:val="0"/>
          <w:numId w:val="0"/>
        </w:numPr>
        <w:tabs>
          <w:tab w:val="left" w:pos="5670"/>
        </w:tabs>
        <w:spacing w:after="0" w:line="259" w:lineRule="auto"/>
      </w:pPr>
    </w:p>
    <w:p w14:paraId="0F2C53E4" w14:textId="64C9397D" w:rsidR="005A349E" w:rsidRDefault="005A349E" w:rsidP="00506DA9">
      <w:pPr>
        <w:numPr>
          <w:ilvl w:val="0"/>
          <w:numId w:val="0"/>
        </w:numPr>
        <w:tabs>
          <w:tab w:val="left" w:pos="5670"/>
        </w:tabs>
        <w:spacing w:after="0" w:line="259" w:lineRule="auto"/>
      </w:pPr>
    </w:p>
    <w:p w14:paraId="329AFBDD" w14:textId="77777777" w:rsidR="005A349E" w:rsidRDefault="005A349E" w:rsidP="00506DA9">
      <w:pPr>
        <w:numPr>
          <w:ilvl w:val="0"/>
          <w:numId w:val="0"/>
        </w:numPr>
        <w:tabs>
          <w:tab w:val="left" w:pos="5670"/>
          <w:tab w:val="center" w:pos="6504"/>
        </w:tabs>
        <w:spacing w:after="10"/>
      </w:pPr>
      <w:r>
        <w:t>____________________________</w:t>
      </w:r>
      <w:r>
        <w:tab/>
        <w:t>____________________________</w:t>
      </w:r>
    </w:p>
    <w:p w14:paraId="7EBD234D" w14:textId="77777777" w:rsidR="005A349E" w:rsidRDefault="005A349E" w:rsidP="00506DA9">
      <w:pPr>
        <w:numPr>
          <w:ilvl w:val="0"/>
          <w:numId w:val="0"/>
        </w:numPr>
        <w:tabs>
          <w:tab w:val="center" w:pos="5598"/>
          <w:tab w:val="left" w:pos="5670"/>
        </w:tabs>
        <w:spacing w:after="10"/>
      </w:pPr>
      <w:r w:rsidRPr="002F736A">
        <w:rPr>
          <w:b/>
          <w:bCs/>
        </w:rPr>
        <w:t>Mgr. Jan Křička</w:t>
      </w:r>
      <w:r>
        <w:tab/>
      </w:r>
    </w:p>
    <w:p w14:paraId="39002EE5" w14:textId="77777777" w:rsidR="005A349E" w:rsidRDefault="005A349E" w:rsidP="00506DA9">
      <w:pPr>
        <w:numPr>
          <w:ilvl w:val="0"/>
          <w:numId w:val="0"/>
        </w:numPr>
        <w:spacing w:after="0" w:line="259" w:lineRule="auto"/>
      </w:pPr>
      <w:r w:rsidRPr="002F736A">
        <w:lastRenderedPageBreak/>
        <w:t>predseda predstavenstva</w:t>
      </w:r>
    </w:p>
    <w:p w14:paraId="5713CCA6" w14:textId="77777777" w:rsidR="005A349E" w:rsidRDefault="005A349E" w:rsidP="00506DA9">
      <w:pPr>
        <w:numPr>
          <w:ilvl w:val="0"/>
          <w:numId w:val="0"/>
        </w:numPr>
        <w:spacing w:after="0" w:line="259" w:lineRule="auto"/>
      </w:pPr>
      <w:r>
        <w:t>FORTISCHEM a. s.</w:t>
      </w:r>
    </w:p>
    <w:p w14:paraId="2D9EE4C2" w14:textId="77777777" w:rsidR="005A349E" w:rsidRDefault="005A349E" w:rsidP="00506DA9">
      <w:pPr>
        <w:numPr>
          <w:ilvl w:val="0"/>
          <w:numId w:val="0"/>
        </w:numPr>
        <w:spacing w:after="0" w:line="259" w:lineRule="auto"/>
      </w:pPr>
    </w:p>
    <w:p w14:paraId="43BAA1E5" w14:textId="77777777" w:rsidR="005A349E" w:rsidRDefault="005A349E" w:rsidP="00506DA9">
      <w:pPr>
        <w:numPr>
          <w:ilvl w:val="0"/>
          <w:numId w:val="0"/>
        </w:numPr>
        <w:spacing w:after="0" w:line="259" w:lineRule="auto"/>
        <w:rPr>
          <w:rFonts w:ascii="Arial" w:eastAsia="Arial" w:hAnsi="Arial" w:cs="Arial"/>
        </w:rPr>
      </w:pPr>
    </w:p>
    <w:p w14:paraId="69E1A99A" w14:textId="77777777" w:rsidR="005A349E" w:rsidRPr="00D055A3" w:rsidRDefault="005A349E" w:rsidP="00506DA9">
      <w:pPr>
        <w:numPr>
          <w:ilvl w:val="0"/>
          <w:numId w:val="0"/>
        </w:numPr>
        <w:spacing w:after="0" w:line="259" w:lineRule="auto"/>
      </w:pPr>
    </w:p>
    <w:p w14:paraId="113469DE" w14:textId="77777777" w:rsidR="005A349E" w:rsidRPr="00D055A3" w:rsidRDefault="005A349E" w:rsidP="00506DA9">
      <w:pPr>
        <w:numPr>
          <w:ilvl w:val="0"/>
          <w:numId w:val="0"/>
        </w:numPr>
      </w:pPr>
      <w:r w:rsidRPr="00D055A3">
        <w:t>____________________________</w:t>
      </w:r>
    </w:p>
    <w:p w14:paraId="22CE12DC" w14:textId="77777777" w:rsidR="005A349E" w:rsidRDefault="005A349E" w:rsidP="00506DA9">
      <w:pPr>
        <w:numPr>
          <w:ilvl w:val="0"/>
          <w:numId w:val="0"/>
        </w:numPr>
        <w:tabs>
          <w:tab w:val="center" w:pos="5598"/>
          <w:tab w:val="left" w:pos="5670"/>
        </w:tabs>
        <w:spacing w:after="10"/>
      </w:pPr>
      <w:r w:rsidRPr="002F736A">
        <w:rPr>
          <w:b/>
          <w:bCs/>
        </w:rPr>
        <w:t>Ing. Andrej Nociar</w:t>
      </w:r>
    </w:p>
    <w:p w14:paraId="56B65803" w14:textId="77777777" w:rsidR="005A349E" w:rsidRDefault="005A349E" w:rsidP="00506DA9">
      <w:pPr>
        <w:numPr>
          <w:ilvl w:val="0"/>
          <w:numId w:val="0"/>
        </w:numPr>
        <w:spacing w:after="0" w:line="259" w:lineRule="auto"/>
      </w:pPr>
      <w:r>
        <w:t>člen</w:t>
      </w:r>
      <w:r w:rsidRPr="002F736A">
        <w:t xml:space="preserve"> predstavenstva</w:t>
      </w:r>
    </w:p>
    <w:p w14:paraId="2C5B5FFB" w14:textId="77777777" w:rsidR="005A349E" w:rsidRDefault="005A349E" w:rsidP="00506DA9">
      <w:pPr>
        <w:numPr>
          <w:ilvl w:val="0"/>
          <w:numId w:val="0"/>
        </w:numPr>
        <w:spacing w:after="0" w:line="259" w:lineRule="auto"/>
      </w:pPr>
      <w:r>
        <w:t>FORTISCHEM a. s.</w:t>
      </w:r>
    </w:p>
    <w:p w14:paraId="3A4BCDEF" w14:textId="77777777" w:rsidR="005A349E" w:rsidRPr="005A349E" w:rsidRDefault="005A349E" w:rsidP="005A349E">
      <w:pPr>
        <w:pStyle w:val="Default"/>
        <w:rPr>
          <w:lang w:eastAsia="sk-SK"/>
        </w:rPr>
      </w:pPr>
    </w:p>
    <w:sectPr w:rsidR="005A349E" w:rsidRPr="005A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275"/>
    <w:multiLevelType w:val="hybridMultilevel"/>
    <w:tmpl w:val="77CC28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18F"/>
    <w:multiLevelType w:val="multilevel"/>
    <w:tmpl w:val="B694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ormlny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02E3CBF"/>
    <w:multiLevelType w:val="multilevel"/>
    <w:tmpl w:val="41163BF6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3F0D5C"/>
    <w:multiLevelType w:val="multilevel"/>
    <w:tmpl w:val="179AB0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9198679">
    <w:abstractNumId w:val="2"/>
  </w:num>
  <w:num w:numId="2" w16cid:durableId="1635483533">
    <w:abstractNumId w:val="1"/>
  </w:num>
  <w:num w:numId="3" w16cid:durableId="691339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865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B2"/>
    <w:rsid w:val="00083BF6"/>
    <w:rsid w:val="002C4B9D"/>
    <w:rsid w:val="00352A65"/>
    <w:rsid w:val="003A65F9"/>
    <w:rsid w:val="00421C48"/>
    <w:rsid w:val="004425B2"/>
    <w:rsid w:val="00506DA9"/>
    <w:rsid w:val="005A349E"/>
    <w:rsid w:val="005C0699"/>
    <w:rsid w:val="006F5E3E"/>
    <w:rsid w:val="00820F54"/>
    <w:rsid w:val="00853669"/>
    <w:rsid w:val="00865352"/>
    <w:rsid w:val="00893144"/>
    <w:rsid w:val="00AB523F"/>
    <w:rsid w:val="00B344BA"/>
    <w:rsid w:val="00BA3A55"/>
    <w:rsid w:val="00BF7946"/>
    <w:rsid w:val="00E06809"/>
    <w:rsid w:val="00EE1406"/>
    <w:rsid w:val="00F0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279"/>
  <w15:chartTrackingRefBased/>
  <w15:docId w15:val="{84A8C7A5-2302-4E34-ADE3-0D259E3B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25B2"/>
    <w:pPr>
      <w:numPr>
        <w:ilvl w:val="8"/>
        <w:numId w:val="2"/>
      </w:numPr>
      <w:spacing w:after="63" w:line="249" w:lineRule="auto"/>
    </w:pPr>
    <w:rPr>
      <w:rFonts w:ascii="Calibri" w:eastAsia="Calibri" w:hAnsi="Calibri" w:cs="Calibri"/>
      <w:color w:val="000000"/>
      <w:kern w:val="2"/>
      <w:lang w:eastAsia="sk-SK"/>
      <w14:ligatures w14:val="standardContextual"/>
    </w:rPr>
  </w:style>
  <w:style w:type="paragraph" w:styleId="Nadpis1">
    <w:name w:val="heading 1"/>
    <w:next w:val="Normlny"/>
    <w:link w:val="Nadpis1Char"/>
    <w:uiPriority w:val="9"/>
    <w:qFormat/>
    <w:rsid w:val="00352A65"/>
    <w:pPr>
      <w:keepNext/>
      <w:keepLines/>
      <w:spacing w:after="31"/>
      <w:outlineLvl w:val="0"/>
    </w:pPr>
    <w:rPr>
      <w:rFonts w:ascii="Calibri" w:eastAsia="Calibri" w:hAnsi="Calibri" w:cs="Calibri"/>
      <w:b/>
      <w:color w:val="000000"/>
      <w:kern w:val="2"/>
      <w:sz w:val="24"/>
      <w:lang w:eastAsia="sk-SK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4425B2"/>
    <w:pPr>
      <w:spacing w:after="0" w:line="240" w:lineRule="auto"/>
    </w:pPr>
    <w:rPr>
      <w:rFonts w:eastAsiaTheme="minorEastAsia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2A6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352A65"/>
    <w:rPr>
      <w:rFonts w:ascii="Calibri" w:eastAsia="Calibri" w:hAnsi="Calibri" w:cs="Calibri"/>
      <w:b/>
      <w:color w:val="000000"/>
      <w:kern w:val="2"/>
      <w:sz w:val="24"/>
      <w:lang w:eastAsia="sk-SK"/>
      <w14:ligatures w14:val="standardContextual"/>
    </w:rPr>
  </w:style>
  <w:style w:type="paragraph" w:customStyle="1" w:styleId="Pa6">
    <w:name w:val="Pa6"/>
    <w:basedOn w:val="Default"/>
    <w:next w:val="Default"/>
    <w:uiPriority w:val="99"/>
    <w:rsid w:val="00AB523F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AB523F"/>
    <w:pPr>
      <w:spacing w:line="201" w:lineRule="atLeast"/>
    </w:pPr>
    <w:rPr>
      <w:rFonts w:ascii="Arial" w:hAnsi="Arial" w:cs="Arial"/>
      <w:color w:val="auto"/>
    </w:rPr>
  </w:style>
  <w:style w:type="paragraph" w:styleId="Odsekzoznamu">
    <w:name w:val="List Paragraph"/>
    <w:basedOn w:val="Normlny"/>
    <w:uiPriority w:val="34"/>
    <w:qFormat/>
    <w:rsid w:val="005C0699"/>
    <w:pPr>
      <w:ind w:left="720"/>
      <w:contextualSpacing/>
    </w:pPr>
  </w:style>
  <w:style w:type="paragraph" w:customStyle="1" w:styleId="Pa8">
    <w:name w:val="Pa8"/>
    <w:basedOn w:val="Default"/>
    <w:next w:val="Default"/>
    <w:uiPriority w:val="99"/>
    <w:rsid w:val="00F02AA2"/>
    <w:pPr>
      <w:spacing w:line="201" w:lineRule="atLeast"/>
    </w:pPr>
    <w:rPr>
      <w:rFonts w:ascii="Arial" w:hAnsi="Arial" w:cs="Arial"/>
      <w:color w:val="auto"/>
    </w:rPr>
  </w:style>
  <w:style w:type="paragraph" w:customStyle="1" w:styleId="Pa10">
    <w:name w:val="Pa10"/>
    <w:basedOn w:val="Default"/>
    <w:next w:val="Default"/>
    <w:uiPriority w:val="99"/>
    <w:rsid w:val="00820F54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Kopčan Ing.</dc:creator>
  <cp:keywords/>
  <dc:description/>
  <cp:lastModifiedBy>Anton Kopčan Ing.</cp:lastModifiedBy>
  <cp:revision>12</cp:revision>
  <dcterms:created xsi:type="dcterms:W3CDTF">2023-12-04T10:21:00Z</dcterms:created>
  <dcterms:modified xsi:type="dcterms:W3CDTF">2023-12-05T11:48:00Z</dcterms:modified>
</cp:coreProperties>
</file>